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3547D8ED" w:rsidR="00275AE3" w:rsidRPr="00B669A0" w:rsidRDefault="00B669A0" w:rsidP="00B669A0">
      <w:pPr>
        <w:spacing w:after="0"/>
        <w:jc w:val="center"/>
        <w:rPr>
          <w:b/>
          <w:bCs/>
          <w:lang w:val="en-GB"/>
        </w:rPr>
      </w:pPr>
      <w:r w:rsidRPr="00B669A0">
        <w:rPr>
          <w:b/>
          <w:bCs/>
          <w:lang w:val="en-GB"/>
        </w:rPr>
        <w:t>TARGETED STAKEHOLDER CONSULTATION 202</w:t>
      </w:r>
      <w:r w:rsidR="0038485A">
        <w:rPr>
          <w:b/>
          <w:bCs/>
          <w:lang w:val="en-GB"/>
        </w:rPr>
        <w:t>2</w:t>
      </w:r>
      <w:r w:rsidRPr="00B669A0">
        <w:rPr>
          <w:b/>
          <w:bCs/>
          <w:lang w:val="en-GB"/>
        </w:rPr>
        <w:t xml:space="preserve">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2DBA5B3A" w14:textId="623103B5" w:rsidR="00CA0E6C" w:rsidRPr="00B669A0" w:rsidRDefault="00CA0E6C" w:rsidP="00B669A0">
      <w:pPr>
        <w:spacing w:after="0"/>
        <w:rPr>
          <w:b/>
          <w:bCs/>
          <w:lang w:val="en-AU"/>
        </w:rPr>
      </w:pPr>
    </w:p>
    <w:p w14:paraId="465166AB" w14:textId="40D4BC30" w:rsidR="001B7CA2" w:rsidRPr="0002213A" w:rsidRDefault="00067DEA" w:rsidP="00B669A0">
      <w:pPr>
        <w:pBdr>
          <w:bottom w:val="single" w:sz="4" w:space="1" w:color="auto"/>
        </w:pBdr>
        <w:rPr>
          <w:b/>
          <w:bCs/>
          <w:lang w:val="en-GB"/>
        </w:rPr>
      </w:pPr>
      <w:r>
        <w:rPr>
          <w:b/>
          <w:lang w:val="en-AU"/>
        </w:rPr>
        <w:t>IRELAND</w:t>
      </w:r>
      <w:r w:rsidR="007D0186">
        <w:rPr>
          <w:b/>
          <w:lang w:val="en-AU"/>
        </w:rPr>
        <w:t xml:space="preserve"> </w:t>
      </w:r>
      <w:r w:rsidR="00B669A0" w:rsidRPr="0002213A">
        <w:rPr>
          <w:b/>
          <w:bCs/>
          <w:lang w:val="en-AU"/>
        </w:rPr>
        <w:t>REVIEW</w:t>
      </w:r>
    </w:p>
    <w:p w14:paraId="2EEF89E7" w14:textId="77777777" w:rsidR="001B7CA2" w:rsidRPr="001B7CA2" w:rsidRDefault="001B7CA2" w:rsidP="001B7CA2">
      <w:pPr>
        <w:rPr>
          <w:lang w:val="en-GB"/>
        </w:rPr>
      </w:pPr>
      <w:r w:rsidRPr="001B7CA2">
        <w:rPr>
          <w:b/>
          <w:bCs/>
          <w:lang w:val="en-GB"/>
        </w:rPr>
        <w:t xml:space="preserve">I. Justice System </w:t>
      </w:r>
    </w:p>
    <w:p w14:paraId="4E024A29" w14:textId="544EE5B8" w:rsidR="001B7CA2" w:rsidRPr="001B7CA2" w:rsidRDefault="001B7CA2" w:rsidP="001B7CA2">
      <w:pPr>
        <w:rPr>
          <w:lang w:val="en-GB"/>
        </w:rPr>
      </w:pPr>
      <w:r w:rsidRPr="001B7CA2">
        <w:rPr>
          <w:b/>
          <w:bCs/>
          <w:i/>
          <w:iCs/>
          <w:lang w:val="en-GB"/>
        </w:rPr>
        <w:t xml:space="preserve">B. Quality of justice </w:t>
      </w:r>
    </w:p>
    <w:p w14:paraId="48E3E95A" w14:textId="2F2E1BF8" w:rsidR="001B7CA2" w:rsidRDefault="001B7CA2" w:rsidP="00FF5A3B">
      <w:pPr>
        <w:spacing w:line="240" w:lineRule="auto"/>
        <w:rPr>
          <w:i/>
          <w:iCs/>
          <w:lang w:val="en-GB"/>
        </w:rPr>
      </w:pPr>
      <w:r w:rsidRPr="001B7CA2">
        <w:rPr>
          <w:i/>
          <w:iCs/>
          <w:lang w:val="en-GB"/>
        </w:rPr>
        <w:t xml:space="preserve">11. Accessibility of courts (e.g. court fees, legal aid, language) </w:t>
      </w:r>
    </w:p>
    <w:p w14:paraId="60B62A00" w14:textId="74733ECA" w:rsidR="001B7CA2" w:rsidRDefault="00E701F2" w:rsidP="00067DEA">
      <w:pPr>
        <w:spacing w:line="240" w:lineRule="auto"/>
        <w:jc w:val="both"/>
        <w:rPr>
          <w:b/>
          <w:bCs/>
          <w:i/>
          <w:iCs/>
          <w:lang w:val="en-GB"/>
        </w:rPr>
      </w:pPr>
      <w:r w:rsidRPr="00E701F2">
        <w:rPr>
          <w:iCs/>
          <w:lang w:val="en-GB"/>
        </w:rPr>
        <w:t>In April 2021, the Special Rapporteur on the independence of judges and lawyers in his report on “The coronavirus disease (COVID-19) pandemic: impact and challenges for independent justice” indicated that Ireland had introduced a system of “traffic light” to reduce the num</w:t>
      </w:r>
      <w:r w:rsidR="00067DEA">
        <w:rPr>
          <w:iCs/>
          <w:lang w:val="en-GB"/>
        </w:rPr>
        <w:t xml:space="preserve">ber of hearings held in person </w:t>
      </w:r>
      <w:hyperlink r:id="rId8" w:history="1">
        <w:r w:rsidRPr="00E701F2">
          <w:rPr>
            <w:rStyle w:val="Hyperlink"/>
            <w:iCs/>
            <w:lang w:val="en-GB"/>
          </w:rPr>
          <w:t>(A/HRC/47/35</w:t>
        </w:r>
      </w:hyperlink>
      <w:r w:rsidRPr="00E701F2">
        <w:rPr>
          <w:iCs/>
          <w:lang w:val="en-GB"/>
        </w:rPr>
        <w:t>, para. 46)</w:t>
      </w:r>
      <w:r w:rsidR="00067DEA">
        <w:rPr>
          <w:iCs/>
          <w:lang w:val="en-GB"/>
        </w:rPr>
        <w:t>.</w:t>
      </w:r>
      <w:r w:rsidR="001B7CA2" w:rsidRPr="009D1508">
        <w:rPr>
          <w:b/>
          <w:bCs/>
          <w:i/>
          <w:iCs/>
          <w:lang w:val="en-GB"/>
        </w:rPr>
        <w:t xml:space="preserve"> </w:t>
      </w:r>
    </w:p>
    <w:p w14:paraId="04D174A3" w14:textId="5C86B165" w:rsidR="000C7C1D" w:rsidRPr="000C7C1D" w:rsidRDefault="000C7C1D" w:rsidP="000C7C1D">
      <w:pPr>
        <w:spacing w:line="240" w:lineRule="auto"/>
        <w:jc w:val="both"/>
        <w:rPr>
          <w:bCs/>
          <w:iCs/>
          <w:lang w:val="en-GB"/>
        </w:rPr>
      </w:pPr>
      <w:r w:rsidRPr="000C7C1D">
        <w:rPr>
          <w:bCs/>
          <w:iCs/>
          <w:lang w:val="en-GB"/>
        </w:rPr>
        <w:t xml:space="preserve">In November 2021, several mandate holders entered into a dialogue with Ireland with regard to information received concerning the proposed Restorative Recognition Scheme for former residents of Mother and Baby Homes and County Homes. The Government has proposed a Restorative Recognition scheme for former residents of Mother and Baby Homes and County Homes. However, little information has been provided to date as to the nature of this Scheme, and its scope appears to be limited only to certain institutions. The mandate-holders recommended that any new restorative scheme </w:t>
      </w:r>
      <w:r w:rsidR="00A0702F" w:rsidRPr="000C7C1D">
        <w:rPr>
          <w:bCs/>
          <w:iCs/>
          <w:lang w:val="en-GB"/>
        </w:rPr>
        <w:t>encompasses</w:t>
      </w:r>
      <w:r w:rsidRPr="000C7C1D">
        <w:rPr>
          <w:bCs/>
          <w:iCs/>
          <w:lang w:val="en-GB"/>
        </w:rPr>
        <w:t xml:space="preserve"> measures to provide full reparation to victims that extend beyond financial compensation to include the five forms of reparation owed to victims (restitution, compensation, rehabilitation, satisfaction and guarantees of non-repetition), and are undertaken jointly with measures to </w:t>
      </w:r>
      <w:r w:rsidR="00712899">
        <w:rPr>
          <w:bCs/>
          <w:iCs/>
          <w:lang w:val="en-GB"/>
        </w:rPr>
        <w:t>e</w:t>
      </w:r>
      <w:r w:rsidRPr="000C7C1D">
        <w:rPr>
          <w:bCs/>
          <w:iCs/>
          <w:lang w:val="en-GB"/>
        </w:rPr>
        <w:t>nsure truth, justice, memory and non-recurrence (</w:t>
      </w:r>
      <w:hyperlink r:id="rId9" w:history="1">
        <w:r w:rsidRPr="000C7C1D">
          <w:rPr>
            <w:rStyle w:val="Hyperlink"/>
            <w:bCs/>
            <w:iCs/>
            <w:lang w:val="en-GB"/>
          </w:rPr>
          <w:t>OL IRL 2/2021</w:t>
        </w:r>
      </w:hyperlink>
      <w:r w:rsidRPr="000C7C1D">
        <w:rPr>
          <w:bCs/>
          <w:iCs/>
          <w:lang w:val="en-GB"/>
        </w:rPr>
        <w:t>, available at</w:t>
      </w:r>
      <w:r w:rsidR="00D00CD9">
        <w:rPr>
          <w:bCs/>
          <w:iCs/>
          <w:lang w:val="en-GB"/>
        </w:rPr>
        <w:t xml:space="preserve"> </w:t>
      </w:r>
      <w:hyperlink r:id="rId10" w:history="1">
        <w:r w:rsidR="007150F3" w:rsidRPr="006D3E28">
          <w:rPr>
            <w:rStyle w:val="Hyperlink"/>
            <w:lang w:val="en-GB"/>
          </w:rPr>
          <w:t>https://spcommreports.ohchr.org/TMResultsBase/DownLoadPublicCommunicationFile?gId=26772</w:t>
        </w:r>
      </w:hyperlink>
      <w:r w:rsidR="007150F3">
        <w:rPr>
          <w:rStyle w:val="Hyperlink"/>
          <w:lang w:val="en-GB"/>
        </w:rPr>
        <w:t>).</w:t>
      </w:r>
    </w:p>
    <w:p w14:paraId="043CB3E0" w14:textId="77777777" w:rsidR="000C7C1D" w:rsidRPr="000C7C1D" w:rsidRDefault="000C7C1D" w:rsidP="00067DEA">
      <w:pPr>
        <w:spacing w:line="240" w:lineRule="auto"/>
        <w:jc w:val="both"/>
        <w:rPr>
          <w:iCs/>
          <w:lang w:val="en-GB"/>
        </w:rPr>
      </w:pPr>
    </w:p>
    <w:p w14:paraId="6AC1EDE9" w14:textId="77777777" w:rsidR="001B7CA2" w:rsidRPr="001B7CA2" w:rsidRDefault="001B7CA2" w:rsidP="001B7CA2">
      <w:pPr>
        <w:rPr>
          <w:lang w:val="en-GB"/>
        </w:rPr>
      </w:pPr>
      <w:r w:rsidRPr="001B7CA2">
        <w:rPr>
          <w:b/>
          <w:bCs/>
          <w:lang w:val="en-GB"/>
        </w:rPr>
        <w:t xml:space="preserve">IV. Other institutional issues related to checks and balances </w:t>
      </w:r>
    </w:p>
    <w:p w14:paraId="2CD0E4AE" w14:textId="77777777" w:rsidR="001B7CA2" w:rsidRPr="001B7CA2" w:rsidRDefault="001B7CA2" w:rsidP="001B7CA2">
      <w:pPr>
        <w:rPr>
          <w:lang w:val="en-GB"/>
        </w:rPr>
      </w:pPr>
      <w:r w:rsidRPr="001B7CA2">
        <w:rPr>
          <w:b/>
          <w:bCs/>
          <w:i/>
          <w:iCs/>
          <w:lang w:val="en-GB"/>
        </w:rPr>
        <w:t xml:space="preserve">A. The process for preparing and enacting laws </w:t>
      </w:r>
    </w:p>
    <w:p w14:paraId="52CD9F57" w14:textId="2EAE1321" w:rsidR="001B7CA2" w:rsidRPr="001B7CA2" w:rsidRDefault="001B7CA2" w:rsidP="001B7CA2">
      <w:pPr>
        <w:rPr>
          <w:lang w:val="en-GB"/>
        </w:rPr>
      </w:pPr>
      <w:r w:rsidRPr="001B7CA2">
        <w:rPr>
          <w:i/>
          <w:iCs/>
          <w:lang w:val="en-GB"/>
        </w:rPr>
        <w:t>4</w:t>
      </w:r>
      <w:r w:rsidR="00DC49B7">
        <w:rPr>
          <w:i/>
          <w:iCs/>
          <w:lang w:val="en-GB"/>
        </w:rPr>
        <w:t>2</w:t>
      </w:r>
      <w:r w:rsidRPr="001B7CA2">
        <w:rPr>
          <w:i/>
          <w:iCs/>
          <w:lang w:val="en-GB"/>
        </w:rPr>
        <w:t xml:space="preserve">. COVID-19: provide update on significant developments with regard to emergency regimes in the context of the COVID-19 pandemic </w:t>
      </w:r>
    </w:p>
    <w:p w14:paraId="3618B0EB" w14:textId="4D889BBE" w:rsidR="00E701F2" w:rsidRDefault="001B7CA2" w:rsidP="001B7CA2">
      <w:pPr>
        <w:rPr>
          <w:i/>
          <w:iCs/>
          <w:lang w:val="en-GB"/>
        </w:rPr>
      </w:pPr>
      <w:r w:rsidRPr="001B7CA2">
        <w:rPr>
          <w:lang w:val="en-GB"/>
        </w:rPr>
        <w:t xml:space="preserve">- </w:t>
      </w:r>
      <w:r w:rsidRPr="001B7CA2">
        <w:rPr>
          <w:i/>
          <w:iCs/>
          <w:lang w:val="en-GB"/>
        </w:rPr>
        <w:t xml:space="preserve">judicial review (including constitutional review) of emergency regimes and measures in the context of COVID-19 pandemic </w:t>
      </w:r>
    </w:p>
    <w:p w14:paraId="0CCB98A6" w14:textId="7173F771" w:rsidR="00E701F2" w:rsidRPr="00E701F2" w:rsidRDefault="00E701F2" w:rsidP="00067DEA">
      <w:pPr>
        <w:jc w:val="both"/>
        <w:rPr>
          <w:iCs/>
          <w:lang w:val="en-GB"/>
        </w:rPr>
      </w:pPr>
      <w:r w:rsidRPr="00E701F2">
        <w:rPr>
          <w:iCs/>
          <w:lang w:val="en-GB"/>
        </w:rPr>
        <w:t>In April 2021, the Special Rapporteur on the independence of judges and lawyers in his report on “The coronavirus disease (COVID-19) pandemic: impact and challenges for independent justice” noted that Ireland had adopted specific guidelines and policies to address domestic violence during the initial ph</w:t>
      </w:r>
      <w:r w:rsidR="00067DEA">
        <w:rPr>
          <w:iCs/>
          <w:lang w:val="en-GB"/>
        </w:rPr>
        <w:t xml:space="preserve">ase of the pandemic. </w:t>
      </w:r>
      <w:r w:rsidRPr="00E701F2">
        <w:rPr>
          <w:iCs/>
          <w:lang w:val="en-GB"/>
        </w:rPr>
        <w:t xml:space="preserve">Generally, national laws allow for emergency measures to be challenged in court. In Ireland, the courts did not declare certain </w:t>
      </w:r>
      <w:r w:rsidR="00067DEA">
        <w:rPr>
          <w:iCs/>
          <w:lang w:val="en-GB"/>
        </w:rPr>
        <w:t>measures to be unconstitutional</w:t>
      </w:r>
      <w:r w:rsidRPr="00E701F2">
        <w:rPr>
          <w:iCs/>
          <w:lang w:val="en-GB"/>
        </w:rPr>
        <w:t xml:space="preserve"> (</w:t>
      </w:r>
      <w:hyperlink r:id="rId11" w:history="1">
        <w:r w:rsidR="00E30E16" w:rsidRPr="00E30E16">
          <w:rPr>
            <w:rStyle w:val="Hyperlink"/>
            <w:bCs/>
            <w:iCs/>
            <w:lang w:val="en-US"/>
          </w:rPr>
          <w:t>A/HRC/47/35</w:t>
        </w:r>
      </w:hyperlink>
      <w:r w:rsidRPr="00E701F2">
        <w:rPr>
          <w:iCs/>
          <w:lang w:val="en-GB"/>
        </w:rPr>
        <w:t>, para</w:t>
      </w:r>
      <w:r w:rsidR="00067DEA">
        <w:rPr>
          <w:iCs/>
          <w:lang w:val="en-GB"/>
        </w:rPr>
        <w:t>. 18 -</w:t>
      </w:r>
      <w:r w:rsidRPr="00E701F2">
        <w:rPr>
          <w:iCs/>
          <w:lang w:val="en-GB"/>
        </w:rPr>
        <w:t xml:space="preserve"> 19)</w:t>
      </w:r>
      <w:r w:rsidR="00067DEA">
        <w:rPr>
          <w:iCs/>
          <w:lang w:val="en-GB"/>
        </w:rPr>
        <w:t>.</w:t>
      </w:r>
    </w:p>
    <w:p w14:paraId="418FEC9B" w14:textId="77777777" w:rsidR="001B7CA2" w:rsidRPr="001B7CA2" w:rsidRDefault="001B7CA2" w:rsidP="001B7CA2">
      <w:pPr>
        <w:rPr>
          <w:lang w:val="en-GB"/>
        </w:rPr>
      </w:pPr>
      <w:r w:rsidRPr="001B7CA2">
        <w:rPr>
          <w:lang w:val="en-GB"/>
        </w:rPr>
        <w:t xml:space="preserve">- </w:t>
      </w:r>
      <w:r w:rsidRPr="001B7CA2">
        <w:rPr>
          <w:i/>
          <w:iCs/>
          <w:lang w:val="en-GB"/>
        </w:rPr>
        <w:t xml:space="preserve">oversight by Parliament of emergency regimes and measures in the context of COVID-19 pandemic </w:t>
      </w:r>
    </w:p>
    <w:p w14:paraId="4974DE29" w14:textId="77777777" w:rsidR="001B7CA2" w:rsidRPr="001B7CA2" w:rsidRDefault="001B7CA2" w:rsidP="001B7CA2">
      <w:pPr>
        <w:rPr>
          <w:lang w:val="en-GB"/>
        </w:rPr>
      </w:pPr>
      <w:r w:rsidRPr="001B7CA2">
        <w:rPr>
          <w:lang w:val="en-GB"/>
        </w:rPr>
        <w:t xml:space="preserve">- </w:t>
      </w:r>
      <w:r w:rsidRPr="001B7CA2">
        <w:rPr>
          <w:i/>
          <w:iCs/>
          <w:lang w:val="en-GB"/>
        </w:rPr>
        <w:t xml:space="preserve">measures taken to ensure the continued activity of Parliament (including possible best practices) </w:t>
      </w:r>
    </w:p>
    <w:p w14:paraId="237B9B4B" w14:textId="77777777" w:rsidR="001B7CA2" w:rsidRPr="001B7CA2" w:rsidRDefault="001B7CA2" w:rsidP="001B7CA2">
      <w:pPr>
        <w:rPr>
          <w:lang w:val="en-GB"/>
        </w:rPr>
      </w:pPr>
      <w:r w:rsidRPr="001B7CA2">
        <w:rPr>
          <w:b/>
          <w:bCs/>
          <w:i/>
          <w:iCs/>
          <w:lang w:val="en-GB"/>
        </w:rPr>
        <w:t xml:space="preserve">B. Independent authorities </w:t>
      </w:r>
    </w:p>
    <w:p w14:paraId="25D40A66" w14:textId="6F6ECAF1" w:rsidR="001B7CA2" w:rsidRDefault="001B7CA2" w:rsidP="001B7CA2">
      <w:pPr>
        <w:rPr>
          <w:i/>
          <w:iCs/>
          <w:lang w:val="en-GB"/>
        </w:rPr>
      </w:pPr>
      <w:r w:rsidRPr="001B7CA2">
        <w:rPr>
          <w:i/>
          <w:iCs/>
          <w:lang w:val="en-GB"/>
        </w:rPr>
        <w:t>4</w:t>
      </w:r>
      <w:r w:rsidR="00DC49B7">
        <w:rPr>
          <w:i/>
          <w:iCs/>
          <w:lang w:val="en-GB"/>
        </w:rPr>
        <w:t>3</w:t>
      </w:r>
      <w:r w:rsidRPr="001B7CA2">
        <w:rPr>
          <w:i/>
          <w:iCs/>
          <w:lang w:val="en-GB"/>
        </w:rPr>
        <w:t>. Independence, capacity and powers of national human rights institutions (‘NHRIs’), of ombudsman institutions if different from NHRIs, of equality bodies if different from NHRIs and of supreme audit institutions</w:t>
      </w:r>
    </w:p>
    <w:p w14:paraId="344E2BAE" w14:textId="4DA9C8F7" w:rsidR="008B03FD" w:rsidRPr="008819C9" w:rsidRDefault="00DB2E29" w:rsidP="00DC59AD">
      <w:pPr>
        <w:pStyle w:val="SingleTxtG"/>
        <w:ind w:left="0"/>
        <w:rPr>
          <w:rFonts w:asciiTheme="minorHAnsi" w:hAnsiTheme="minorHAnsi" w:cstheme="minorHAnsi"/>
          <w:sz w:val="22"/>
          <w:szCs w:val="22"/>
          <w:lang w:val="en-US"/>
        </w:rPr>
      </w:pPr>
      <w:r>
        <w:rPr>
          <w:rFonts w:asciiTheme="minorHAnsi" w:hAnsiTheme="minorHAnsi" w:cstheme="minorHAnsi"/>
          <w:sz w:val="22"/>
          <w:szCs w:val="22"/>
          <w:lang w:val="en-US"/>
        </w:rPr>
        <w:lastRenderedPageBreak/>
        <w:t>In June 2021,</w:t>
      </w:r>
      <w:r w:rsidRPr="00DB2E29">
        <w:rPr>
          <w:rFonts w:asciiTheme="minorHAnsi" w:hAnsiTheme="minorHAnsi" w:cstheme="minorHAnsi"/>
          <w:sz w:val="22"/>
          <w:szCs w:val="22"/>
          <w:lang w:val="en-US"/>
        </w:rPr>
        <w:t xml:space="preserve"> the Global Alliance for National Human Rights Institutions (GANHRI) Sub-Committee on Accredita</w:t>
      </w:r>
      <w:r>
        <w:rPr>
          <w:rFonts w:asciiTheme="minorHAnsi" w:hAnsiTheme="minorHAnsi" w:cstheme="minorHAnsi"/>
          <w:sz w:val="22"/>
          <w:szCs w:val="22"/>
          <w:lang w:val="en-US"/>
        </w:rPr>
        <w:t xml:space="preserve">tion (SCA) recommended that the </w:t>
      </w:r>
      <w:r w:rsidRPr="00DB2E29">
        <w:rPr>
          <w:rFonts w:asciiTheme="minorHAnsi" w:hAnsiTheme="minorHAnsi" w:cstheme="minorHAnsi"/>
          <w:sz w:val="22"/>
          <w:szCs w:val="22"/>
          <w:lang w:val="en-US"/>
        </w:rPr>
        <w:t xml:space="preserve">Irish Human Rights and Equality Commission (IHREC) </w:t>
      </w:r>
      <w:r>
        <w:rPr>
          <w:rFonts w:asciiTheme="minorHAnsi" w:hAnsiTheme="minorHAnsi" w:cstheme="minorHAnsi"/>
          <w:sz w:val="22"/>
          <w:szCs w:val="22"/>
          <w:lang w:val="en-US"/>
        </w:rPr>
        <w:t>be re-</w:t>
      </w:r>
      <w:r w:rsidRPr="00DB2E29">
        <w:rPr>
          <w:rFonts w:asciiTheme="minorHAnsi" w:hAnsiTheme="minorHAnsi" w:cstheme="minorHAnsi"/>
          <w:sz w:val="22"/>
          <w:szCs w:val="22"/>
          <w:lang w:val="en-US"/>
        </w:rPr>
        <w:t>accredited with A status. The SCA highlighted that NHRIs with A status should take reasonable steps to enhance their effectiveness and independence, in line with the Paris Principles</w:t>
      </w:r>
      <w:r w:rsidR="007150F3">
        <w:rPr>
          <w:rFonts w:asciiTheme="minorHAnsi" w:hAnsiTheme="minorHAnsi" w:cstheme="minorHAnsi"/>
          <w:sz w:val="22"/>
          <w:szCs w:val="22"/>
          <w:lang w:val="en-US"/>
        </w:rPr>
        <w:t xml:space="preserve">. It also reiterated </w:t>
      </w:r>
      <w:r w:rsidRPr="00DB2E29">
        <w:rPr>
          <w:rFonts w:asciiTheme="minorHAnsi" w:hAnsiTheme="minorHAnsi" w:cstheme="minorHAnsi"/>
          <w:sz w:val="22"/>
          <w:szCs w:val="22"/>
          <w:lang w:val="en-US"/>
        </w:rPr>
        <w:t>the recommendations made by the SCA during the review</w:t>
      </w:r>
      <w:r w:rsidR="007150F3">
        <w:rPr>
          <w:rFonts w:asciiTheme="minorHAnsi" w:hAnsiTheme="minorHAnsi" w:cstheme="minorHAnsi"/>
          <w:sz w:val="22"/>
          <w:szCs w:val="22"/>
          <w:lang w:val="en-US"/>
        </w:rPr>
        <w:t xml:space="preserve">, including </w:t>
      </w:r>
      <w:r w:rsidR="007150F3" w:rsidRPr="007150F3">
        <w:rPr>
          <w:rFonts w:asciiTheme="minorHAnsi" w:hAnsiTheme="minorHAnsi" w:cstheme="minorHAnsi"/>
          <w:sz w:val="22"/>
          <w:szCs w:val="22"/>
          <w:lang w:val="en-US"/>
        </w:rPr>
        <w:t>appropriate amendments to its enabling law to ensure that the full range of civil, political, economic, s</w:t>
      </w:r>
      <w:r w:rsidR="00A21ED1">
        <w:rPr>
          <w:rFonts w:asciiTheme="minorHAnsi" w:hAnsiTheme="minorHAnsi" w:cstheme="minorHAnsi"/>
          <w:sz w:val="22"/>
          <w:szCs w:val="22"/>
          <w:lang w:val="en-US"/>
        </w:rPr>
        <w:t>ocial, and cultural rights</w:t>
      </w:r>
      <w:r w:rsidR="007150F3" w:rsidRPr="007150F3">
        <w:rPr>
          <w:rFonts w:asciiTheme="minorHAnsi" w:hAnsiTheme="minorHAnsi" w:cstheme="minorHAnsi"/>
          <w:sz w:val="22"/>
          <w:szCs w:val="22"/>
          <w:lang w:val="en-US"/>
        </w:rPr>
        <w:t xml:space="preserve"> apply to all its powers</w:t>
      </w:r>
      <w:r w:rsidR="007150F3">
        <w:rPr>
          <w:rFonts w:asciiTheme="minorHAnsi" w:hAnsiTheme="minorHAnsi" w:cstheme="minorHAnsi"/>
          <w:sz w:val="22"/>
          <w:szCs w:val="22"/>
          <w:lang w:val="en-US"/>
        </w:rPr>
        <w:t xml:space="preserve">, </w:t>
      </w:r>
      <w:r w:rsidR="007150F3" w:rsidRPr="007150F3">
        <w:rPr>
          <w:rFonts w:asciiTheme="minorHAnsi" w:hAnsiTheme="minorHAnsi" w:cstheme="minorHAnsi"/>
          <w:sz w:val="22"/>
          <w:szCs w:val="22"/>
          <w:lang w:val="en-US"/>
        </w:rPr>
        <w:t xml:space="preserve">the formalization and a </w:t>
      </w:r>
      <w:r w:rsidR="00A21ED1">
        <w:rPr>
          <w:rFonts w:asciiTheme="minorHAnsi" w:hAnsiTheme="minorHAnsi" w:cstheme="minorHAnsi"/>
          <w:sz w:val="22"/>
          <w:szCs w:val="22"/>
          <w:lang w:val="en-US"/>
        </w:rPr>
        <w:t>uniform process that ensure</w:t>
      </w:r>
      <w:r w:rsidR="007150F3" w:rsidRPr="007150F3">
        <w:rPr>
          <w:rFonts w:asciiTheme="minorHAnsi" w:hAnsiTheme="minorHAnsi" w:cstheme="minorHAnsi"/>
          <w:sz w:val="22"/>
          <w:szCs w:val="22"/>
          <w:lang w:val="en-US"/>
        </w:rPr>
        <w:t xml:space="preserve"> the broad participation of civil society in the select</w:t>
      </w:r>
      <w:r w:rsidR="00A21ED1">
        <w:rPr>
          <w:rFonts w:asciiTheme="minorHAnsi" w:hAnsiTheme="minorHAnsi" w:cstheme="minorHAnsi"/>
          <w:sz w:val="22"/>
          <w:szCs w:val="22"/>
          <w:lang w:val="en-US"/>
        </w:rPr>
        <w:t xml:space="preserve">ion and appointment process, </w:t>
      </w:r>
      <w:r w:rsidR="007150F3" w:rsidRPr="007150F3">
        <w:rPr>
          <w:rFonts w:asciiTheme="minorHAnsi" w:hAnsiTheme="minorHAnsi" w:cstheme="minorHAnsi"/>
          <w:sz w:val="22"/>
          <w:szCs w:val="22"/>
          <w:lang w:val="en-US"/>
        </w:rPr>
        <w:t>the assessment of applicants on the basis of pre-determined and objective criteria</w:t>
      </w:r>
      <w:r w:rsidR="007150F3">
        <w:rPr>
          <w:rFonts w:asciiTheme="minorHAnsi" w:hAnsiTheme="minorHAnsi" w:cstheme="minorHAnsi"/>
          <w:sz w:val="22"/>
          <w:szCs w:val="22"/>
          <w:lang w:val="en-US"/>
        </w:rPr>
        <w:t xml:space="preserve">, and </w:t>
      </w:r>
      <w:r w:rsidR="00285ECA" w:rsidRPr="00285ECA">
        <w:rPr>
          <w:rFonts w:asciiTheme="minorHAnsi" w:hAnsiTheme="minorHAnsi" w:cstheme="minorHAnsi"/>
          <w:sz w:val="22"/>
          <w:szCs w:val="22"/>
          <w:lang w:val="en-US"/>
        </w:rPr>
        <w:t>additional funding to ensure that it can effectively carry out the full breadth of its mandate</w:t>
      </w:r>
      <w:r w:rsidR="00507753">
        <w:rPr>
          <w:rFonts w:asciiTheme="minorHAnsi" w:hAnsiTheme="minorHAnsi" w:cstheme="minorHAnsi"/>
          <w:sz w:val="22"/>
          <w:szCs w:val="22"/>
          <w:lang w:val="en-US"/>
        </w:rPr>
        <w:t xml:space="preserve"> </w:t>
      </w:r>
      <w:r w:rsidR="009D7F3C" w:rsidRPr="009D7F3C">
        <w:rPr>
          <w:rFonts w:asciiTheme="minorHAnsi" w:hAnsiTheme="minorHAnsi" w:cstheme="minorHAnsi"/>
          <w:sz w:val="22"/>
          <w:szCs w:val="22"/>
          <w:lang w:val="en-US"/>
        </w:rPr>
        <w:t>(</w:t>
      </w:r>
      <w:hyperlink r:id="rId12" w:history="1">
        <w:r w:rsidR="009D7F3C" w:rsidRPr="009D7F3C">
          <w:rPr>
            <w:rStyle w:val="Hyperlink"/>
            <w:rFonts w:asciiTheme="minorHAnsi" w:hAnsiTheme="minorHAnsi" w:cstheme="minorHAnsi"/>
            <w:sz w:val="22"/>
            <w:szCs w:val="22"/>
            <w:lang w:val="en-US"/>
          </w:rPr>
          <w:t>GANHRI Sub-Committee on Accreditation Report</w:t>
        </w:r>
      </w:hyperlink>
      <w:r w:rsidR="008819C9">
        <w:rPr>
          <w:rStyle w:val="Hyperlink"/>
          <w:rFonts w:asciiTheme="minorHAnsi" w:hAnsiTheme="minorHAnsi" w:cstheme="minorHAnsi"/>
          <w:color w:val="auto"/>
          <w:sz w:val="22"/>
          <w:szCs w:val="22"/>
          <w:u w:val="none"/>
          <w:lang w:val="en-US"/>
        </w:rPr>
        <w:t>, p</w:t>
      </w:r>
      <w:r w:rsidR="00A21ED1">
        <w:rPr>
          <w:rStyle w:val="Hyperlink"/>
          <w:rFonts w:asciiTheme="minorHAnsi" w:hAnsiTheme="minorHAnsi" w:cstheme="minorHAnsi"/>
          <w:color w:val="auto"/>
          <w:sz w:val="22"/>
          <w:szCs w:val="22"/>
          <w:u w:val="none"/>
          <w:lang w:val="en-US"/>
        </w:rPr>
        <w:t>ara</w:t>
      </w:r>
      <w:r w:rsidR="008819C9">
        <w:rPr>
          <w:rStyle w:val="Hyperlink"/>
          <w:rFonts w:asciiTheme="minorHAnsi" w:hAnsiTheme="minorHAnsi" w:cstheme="minorHAnsi"/>
          <w:color w:val="auto"/>
          <w:sz w:val="22"/>
          <w:szCs w:val="22"/>
          <w:u w:val="none"/>
          <w:lang w:val="en-US"/>
        </w:rPr>
        <w:t>. 15)</w:t>
      </w:r>
      <w:r w:rsidR="00E30E16">
        <w:rPr>
          <w:rStyle w:val="Hyperlink"/>
          <w:rFonts w:asciiTheme="minorHAnsi" w:hAnsiTheme="minorHAnsi" w:cstheme="minorHAnsi"/>
          <w:color w:val="auto"/>
          <w:sz w:val="22"/>
          <w:szCs w:val="22"/>
          <w:u w:val="none"/>
          <w:lang w:val="en-US"/>
        </w:rPr>
        <w:t>.</w:t>
      </w:r>
      <w:bookmarkStart w:id="0" w:name="_GoBack"/>
      <w:bookmarkEnd w:id="0"/>
    </w:p>
    <w:p w14:paraId="1B9AF4EB" w14:textId="77777777" w:rsidR="00067DEA" w:rsidRPr="00450009" w:rsidRDefault="00067DEA" w:rsidP="00450009">
      <w:pPr>
        <w:rPr>
          <w:iCs/>
          <w:lang w:val="en-GB"/>
        </w:rPr>
      </w:pPr>
    </w:p>
    <w:p w14:paraId="203ECA1D" w14:textId="6E290846" w:rsidR="001B7CA2" w:rsidRPr="005D1155" w:rsidRDefault="001B7CA2" w:rsidP="001B7CA2">
      <w:pPr>
        <w:rPr>
          <w:lang w:val="en-US"/>
        </w:rPr>
      </w:pPr>
    </w:p>
    <w:sectPr w:rsidR="001B7CA2" w:rsidRPr="005D1155">
      <w:footerReference w:type="default" r:id="rId13"/>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43CFE" w14:textId="77777777" w:rsidR="00394237" w:rsidRDefault="00394237" w:rsidP="00AB6BD8">
      <w:pPr>
        <w:spacing w:after="0" w:line="240" w:lineRule="auto"/>
      </w:pPr>
      <w:r>
        <w:separator/>
      </w:r>
    </w:p>
  </w:endnote>
  <w:endnote w:type="continuationSeparator" w:id="0">
    <w:p w14:paraId="6CDAECEF" w14:textId="77777777" w:rsidR="00394237" w:rsidRDefault="00394237"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7D05D2D0" w:rsidR="00ED7A10" w:rsidRDefault="00ED7A10">
        <w:pPr>
          <w:pStyle w:val="Footer"/>
          <w:jc w:val="center"/>
        </w:pPr>
        <w:r>
          <w:fldChar w:fldCharType="begin"/>
        </w:r>
        <w:r>
          <w:instrText>PAGE   \* MERGEFORMAT</w:instrText>
        </w:r>
        <w:r>
          <w:fldChar w:fldCharType="separate"/>
        </w:r>
        <w:r w:rsidR="00E30E16" w:rsidRPr="00E30E16">
          <w:rPr>
            <w:noProof/>
            <w:lang w:val="fr-FR"/>
          </w:rPr>
          <w:t>2</w:t>
        </w:r>
        <w:r>
          <w:fldChar w:fldCharType="end"/>
        </w:r>
      </w:p>
    </w:sdtContent>
  </w:sdt>
  <w:p w14:paraId="1E65FFBB" w14:textId="77777777" w:rsidR="00ED7A10" w:rsidRDefault="00ED7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DA5B2" w14:textId="77777777" w:rsidR="00394237" w:rsidRDefault="00394237" w:rsidP="00AB6BD8">
      <w:pPr>
        <w:spacing w:after="0" w:line="240" w:lineRule="auto"/>
      </w:pPr>
      <w:r>
        <w:separator/>
      </w:r>
    </w:p>
  </w:footnote>
  <w:footnote w:type="continuationSeparator" w:id="0">
    <w:p w14:paraId="64E79D99" w14:textId="77777777" w:rsidR="00394237" w:rsidRDefault="00394237"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794CE63E"/>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09012A30"/>
    <w:multiLevelType w:val="hybridMultilevel"/>
    <w:tmpl w:val="3EF00E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17749A"/>
    <w:multiLevelType w:val="hybridMultilevel"/>
    <w:tmpl w:val="18D29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5" w15:restartNumberingAfterBreak="0">
    <w:nsid w:val="52426AD4"/>
    <w:multiLevelType w:val="hybridMultilevel"/>
    <w:tmpl w:val="1690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136FE3"/>
    <w:multiLevelType w:val="hybridMultilevel"/>
    <w:tmpl w:val="0736FCEE"/>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5A319AF"/>
    <w:multiLevelType w:val="hybridMultilevel"/>
    <w:tmpl w:val="F26A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9" w15:restartNumberingAfterBreak="0">
    <w:nsid w:val="57B807BB"/>
    <w:multiLevelType w:val="hybridMultilevel"/>
    <w:tmpl w:val="8166C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D66480"/>
    <w:multiLevelType w:val="hybridMultilevel"/>
    <w:tmpl w:val="3C5012E0"/>
    <w:lvl w:ilvl="0" w:tplc="040C000F">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6686066"/>
    <w:multiLevelType w:val="hybridMultilevel"/>
    <w:tmpl w:val="54023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046DDE"/>
    <w:multiLevelType w:val="hybridMultilevel"/>
    <w:tmpl w:val="72464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5C6F16"/>
    <w:multiLevelType w:val="hybridMultilevel"/>
    <w:tmpl w:val="58A072F8"/>
    <w:lvl w:ilvl="0" w:tplc="48CC2394">
      <w:start w:val="2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F381198"/>
    <w:multiLevelType w:val="hybridMultilevel"/>
    <w:tmpl w:val="58FC22E6"/>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abstractNum w:abstractNumId="15"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8"/>
  </w:num>
  <w:num w:numId="2">
    <w:abstractNumId w:val="15"/>
  </w:num>
  <w:num w:numId="3">
    <w:abstractNumId w:val="4"/>
  </w:num>
  <w:num w:numId="4">
    <w:abstractNumId w:val="2"/>
  </w:num>
  <w:num w:numId="5">
    <w:abstractNumId w:val="5"/>
  </w:num>
  <w:num w:numId="6">
    <w:abstractNumId w:val="7"/>
  </w:num>
  <w:num w:numId="7">
    <w:abstractNumId w:val="12"/>
  </w:num>
  <w:num w:numId="8">
    <w:abstractNumId w:val="11"/>
  </w:num>
  <w:num w:numId="9">
    <w:abstractNumId w:val="14"/>
  </w:num>
  <w:num w:numId="10">
    <w:abstractNumId w:val="6"/>
  </w:num>
  <w:num w:numId="11">
    <w:abstractNumId w:val="0"/>
  </w:num>
  <w:num w:numId="12">
    <w:abstractNumId w:val="10"/>
  </w:num>
  <w:num w:numId="13">
    <w:abstractNumId w:val="9"/>
  </w:num>
  <w:num w:numId="14">
    <w:abstractNumId w:val="13"/>
  </w:num>
  <w:num w:numId="15">
    <w:abstractNumId w:val="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0"/>
  <w:activeWritingStyle w:appName="MSWord" w:lang="fr-FR"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BE" w:vendorID="64" w:dllVersion="131078" w:nlCheck="1" w:checkStyle="0"/>
  <w:activeWritingStyle w:appName="MSWord" w:lang="fr-FR" w:vendorID="64" w:dllVersion="131078" w:nlCheck="1" w:checkStyle="0"/>
  <w:activeWritingStyle w:appName="MSWord" w:lang="es-ES_tradnl" w:vendorID="64" w:dllVersion="131078" w:nlCheck="1" w:checkStyle="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213A"/>
    <w:rsid w:val="00024911"/>
    <w:rsid w:val="000555C4"/>
    <w:rsid w:val="00067DEA"/>
    <w:rsid w:val="000754C3"/>
    <w:rsid w:val="00082BB4"/>
    <w:rsid w:val="00091C62"/>
    <w:rsid w:val="00094650"/>
    <w:rsid w:val="000B034D"/>
    <w:rsid w:val="000C7C1D"/>
    <w:rsid w:val="000D06BF"/>
    <w:rsid w:val="000E3E0A"/>
    <w:rsid w:val="000E4ACA"/>
    <w:rsid w:val="000E4D1E"/>
    <w:rsid w:val="000E58CC"/>
    <w:rsid w:val="000F7447"/>
    <w:rsid w:val="000F74F4"/>
    <w:rsid w:val="00102288"/>
    <w:rsid w:val="00102797"/>
    <w:rsid w:val="00125B2C"/>
    <w:rsid w:val="00137F92"/>
    <w:rsid w:val="00144770"/>
    <w:rsid w:val="00147BF9"/>
    <w:rsid w:val="0015004A"/>
    <w:rsid w:val="00152098"/>
    <w:rsid w:val="00165AFF"/>
    <w:rsid w:val="00173726"/>
    <w:rsid w:val="00173CF4"/>
    <w:rsid w:val="001844C0"/>
    <w:rsid w:val="001868E0"/>
    <w:rsid w:val="00195595"/>
    <w:rsid w:val="001A17C6"/>
    <w:rsid w:val="001A362C"/>
    <w:rsid w:val="001A46A5"/>
    <w:rsid w:val="001B7CA2"/>
    <w:rsid w:val="001C2305"/>
    <w:rsid w:val="001C2B7C"/>
    <w:rsid w:val="001C79A2"/>
    <w:rsid w:val="001C7CCF"/>
    <w:rsid w:val="001E08DC"/>
    <w:rsid w:val="001E0C79"/>
    <w:rsid w:val="001E2105"/>
    <w:rsid w:val="001F3870"/>
    <w:rsid w:val="001F7E45"/>
    <w:rsid w:val="002057FA"/>
    <w:rsid w:val="00206A47"/>
    <w:rsid w:val="002171B7"/>
    <w:rsid w:val="00221C79"/>
    <w:rsid w:val="00231F28"/>
    <w:rsid w:val="00235A91"/>
    <w:rsid w:val="00240D75"/>
    <w:rsid w:val="002430D2"/>
    <w:rsid w:val="0024664D"/>
    <w:rsid w:val="00251082"/>
    <w:rsid w:val="00252C8E"/>
    <w:rsid w:val="002668EA"/>
    <w:rsid w:val="00275AE3"/>
    <w:rsid w:val="00285ECA"/>
    <w:rsid w:val="00293C29"/>
    <w:rsid w:val="00294805"/>
    <w:rsid w:val="002953FF"/>
    <w:rsid w:val="002969C5"/>
    <w:rsid w:val="002A669E"/>
    <w:rsid w:val="002B0F0C"/>
    <w:rsid w:val="002C15AB"/>
    <w:rsid w:val="002C4AD7"/>
    <w:rsid w:val="002D45D1"/>
    <w:rsid w:val="0030165D"/>
    <w:rsid w:val="00334386"/>
    <w:rsid w:val="00350EEE"/>
    <w:rsid w:val="003619BB"/>
    <w:rsid w:val="00362586"/>
    <w:rsid w:val="00364DD8"/>
    <w:rsid w:val="003768D1"/>
    <w:rsid w:val="00383787"/>
    <w:rsid w:val="003843E1"/>
    <w:rsid w:val="0038485A"/>
    <w:rsid w:val="00394237"/>
    <w:rsid w:val="003A0D9D"/>
    <w:rsid w:val="003B4F07"/>
    <w:rsid w:val="003D7999"/>
    <w:rsid w:val="003F19B1"/>
    <w:rsid w:val="00405880"/>
    <w:rsid w:val="0043718B"/>
    <w:rsid w:val="00445679"/>
    <w:rsid w:val="00447DF5"/>
    <w:rsid w:val="00450009"/>
    <w:rsid w:val="00450E6D"/>
    <w:rsid w:val="00451BE5"/>
    <w:rsid w:val="00451C0D"/>
    <w:rsid w:val="00456DB5"/>
    <w:rsid w:val="00462100"/>
    <w:rsid w:val="004809CC"/>
    <w:rsid w:val="00491A44"/>
    <w:rsid w:val="004A0573"/>
    <w:rsid w:val="004A4D25"/>
    <w:rsid w:val="004B60DD"/>
    <w:rsid w:val="004C0B1F"/>
    <w:rsid w:val="004C4C49"/>
    <w:rsid w:val="004E2A0C"/>
    <w:rsid w:val="004E5D2F"/>
    <w:rsid w:val="00505401"/>
    <w:rsid w:val="00507753"/>
    <w:rsid w:val="005078D2"/>
    <w:rsid w:val="00522885"/>
    <w:rsid w:val="005323A5"/>
    <w:rsid w:val="00537606"/>
    <w:rsid w:val="0054542F"/>
    <w:rsid w:val="00561741"/>
    <w:rsid w:val="0057151E"/>
    <w:rsid w:val="00572CAC"/>
    <w:rsid w:val="00572D29"/>
    <w:rsid w:val="00576122"/>
    <w:rsid w:val="00584F11"/>
    <w:rsid w:val="00592F7B"/>
    <w:rsid w:val="005936DA"/>
    <w:rsid w:val="00595A34"/>
    <w:rsid w:val="005A53B1"/>
    <w:rsid w:val="005A53E4"/>
    <w:rsid w:val="005A781C"/>
    <w:rsid w:val="005B07F4"/>
    <w:rsid w:val="005B7D2E"/>
    <w:rsid w:val="005C4199"/>
    <w:rsid w:val="005D1155"/>
    <w:rsid w:val="005E242A"/>
    <w:rsid w:val="00600F16"/>
    <w:rsid w:val="0061181D"/>
    <w:rsid w:val="006210A9"/>
    <w:rsid w:val="00621476"/>
    <w:rsid w:val="0062626E"/>
    <w:rsid w:val="00633DEB"/>
    <w:rsid w:val="0064596A"/>
    <w:rsid w:val="00656276"/>
    <w:rsid w:val="0066480F"/>
    <w:rsid w:val="00694C36"/>
    <w:rsid w:val="006B2848"/>
    <w:rsid w:val="006B2EEF"/>
    <w:rsid w:val="006E4FC8"/>
    <w:rsid w:val="006F10BF"/>
    <w:rsid w:val="006F2AEF"/>
    <w:rsid w:val="006F4CC3"/>
    <w:rsid w:val="00706468"/>
    <w:rsid w:val="00706F1D"/>
    <w:rsid w:val="00712899"/>
    <w:rsid w:val="00714D95"/>
    <w:rsid w:val="007150F3"/>
    <w:rsid w:val="00726393"/>
    <w:rsid w:val="0074007C"/>
    <w:rsid w:val="007467E2"/>
    <w:rsid w:val="00752BCB"/>
    <w:rsid w:val="00753FA0"/>
    <w:rsid w:val="00763A91"/>
    <w:rsid w:val="00775C3A"/>
    <w:rsid w:val="0079724B"/>
    <w:rsid w:val="007D0186"/>
    <w:rsid w:val="007D7490"/>
    <w:rsid w:val="007E0594"/>
    <w:rsid w:val="007F1F30"/>
    <w:rsid w:val="007F4BCB"/>
    <w:rsid w:val="007F529E"/>
    <w:rsid w:val="0080379C"/>
    <w:rsid w:val="00812CA6"/>
    <w:rsid w:val="00815599"/>
    <w:rsid w:val="00820269"/>
    <w:rsid w:val="00824724"/>
    <w:rsid w:val="00827C2F"/>
    <w:rsid w:val="0083739F"/>
    <w:rsid w:val="008526FE"/>
    <w:rsid w:val="008628EF"/>
    <w:rsid w:val="00864814"/>
    <w:rsid w:val="00867498"/>
    <w:rsid w:val="00867CBB"/>
    <w:rsid w:val="00873B37"/>
    <w:rsid w:val="0088139C"/>
    <w:rsid w:val="008819C9"/>
    <w:rsid w:val="008A1B74"/>
    <w:rsid w:val="008A7229"/>
    <w:rsid w:val="008B03FD"/>
    <w:rsid w:val="008B50CB"/>
    <w:rsid w:val="008B517C"/>
    <w:rsid w:val="008B5DE9"/>
    <w:rsid w:val="008B6874"/>
    <w:rsid w:val="008C4411"/>
    <w:rsid w:val="008C7A94"/>
    <w:rsid w:val="008D7F8C"/>
    <w:rsid w:val="008E4FD7"/>
    <w:rsid w:val="008E537C"/>
    <w:rsid w:val="008F5F0F"/>
    <w:rsid w:val="008F689A"/>
    <w:rsid w:val="00913AE9"/>
    <w:rsid w:val="00916B8E"/>
    <w:rsid w:val="00923EBE"/>
    <w:rsid w:val="009441AD"/>
    <w:rsid w:val="00944BB4"/>
    <w:rsid w:val="00951DEB"/>
    <w:rsid w:val="00962913"/>
    <w:rsid w:val="00966DC9"/>
    <w:rsid w:val="0096772C"/>
    <w:rsid w:val="009870F0"/>
    <w:rsid w:val="00991323"/>
    <w:rsid w:val="00997215"/>
    <w:rsid w:val="009A7131"/>
    <w:rsid w:val="009C040C"/>
    <w:rsid w:val="009C6B9F"/>
    <w:rsid w:val="009D1508"/>
    <w:rsid w:val="009D7F3C"/>
    <w:rsid w:val="009E48E9"/>
    <w:rsid w:val="00A04D5E"/>
    <w:rsid w:val="00A0702F"/>
    <w:rsid w:val="00A1060B"/>
    <w:rsid w:val="00A118BB"/>
    <w:rsid w:val="00A2011E"/>
    <w:rsid w:val="00A21ED1"/>
    <w:rsid w:val="00A21F09"/>
    <w:rsid w:val="00A33884"/>
    <w:rsid w:val="00A40211"/>
    <w:rsid w:val="00A8576F"/>
    <w:rsid w:val="00A95DE7"/>
    <w:rsid w:val="00AA28FE"/>
    <w:rsid w:val="00AA786F"/>
    <w:rsid w:val="00AB39DD"/>
    <w:rsid w:val="00AB4073"/>
    <w:rsid w:val="00AB6BD8"/>
    <w:rsid w:val="00AD14BD"/>
    <w:rsid w:val="00AD37EC"/>
    <w:rsid w:val="00AD5BC2"/>
    <w:rsid w:val="00AE13F5"/>
    <w:rsid w:val="00AF33F6"/>
    <w:rsid w:val="00AF4734"/>
    <w:rsid w:val="00AF6778"/>
    <w:rsid w:val="00B06121"/>
    <w:rsid w:val="00B06A99"/>
    <w:rsid w:val="00B1077E"/>
    <w:rsid w:val="00B3376B"/>
    <w:rsid w:val="00B40971"/>
    <w:rsid w:val="00B44395"/>
    <w:rsid w:val="00B4482C"/>
    <w:rsid w:val="00B54E3F"/>
    <w:rsid w:val="00B669A0"/>
    <w:rsid w:val="00B81318"/>
    <w:rsid w:val="00B837B5"/>
    <w:rsid w:val="00B8626C"/>
    <w:rsid w:val="00B92E78"/>
    <w:rsid w:val="00B94426"/>
    <w:rsid w:val="00BB67D7"/>
    <w:rsid w:val="00BC187D"/>
    <w:rsid w:val="00BC1D9A"/>
    <w:rsid w:val="00BF199A"/>
    <w:rsid w:val="00C206C5"/>
    <w:rsid w:val="00C21B69"/>
    <w:rsid w:val="00C2221F"/>
    <w:rsid w:val="00C25048"/>
    <w:rsid w:val="00C34944"/>
    <w:rsid w:val="00C357C2"/>
    <w:rsid w:val="00C46DCD"/>
    <w:rsid w:val="00C5007B"/>
    <w:rsid w:val="00C64882"/>
    <w:rsid w:val="00C91D1B"/>
    <w:rsid w:val="00CA0E6C"/>
    <w:rsid w:val="00CB73BB"/>
    <w:rsid w:val="00CC6B37"/>
    <w:rsid w:val="00CD1815"/>
    <w:rsid w:val="00CD7A88"/>
    <w:rsid w:val="00CE4C75"/>
    <w:rsid w:val="00CF698C"/>
    <w:rsid w:val="00D002BC"/>
    <w:rsid w:val="00D00CD9"/>
    <w:rsid w:val="00D027D9"/>
    <w:rsid w:val="00D07239"/>
    <w:rsid w:val="00D17788"/>
    <w:rsid w:val="00D475F7"/>
    <w:rsid w:val="00D6657B"/>
    <w:rsid w:val="00D75D5D"/>
    <w:rsid w:val="00D76481"/>
    <w:rsid w:val="00D776C3"/>
    <w:rsid w:val="00D83F8B"/>
    <w:rsid w:val="00D848D8"/>
    <w:rsid w:val="00D87626"/>
    <w:rsid w:val="00DA2342"/>
    <w:rsid w:val="00DA2D83"/>
    <w:rsid w:val="00DB2E29"/>
    <w:rsid w:val="00DC04CC"/>
    <w:rsid w:val="00DC2228"/>
    <w:rsid w:val="00DC2934"/>
    <w:rsid w:val="00DC36E4"/>
    <w:rsid w:val="00DC49B7"/>
    <w:rsid w:val="00DC59AD"/>
    <w:rsid w:val="00DC5B32"/>
    <w:rsid w:val="00DD1A75"/>
    <w:rsid w:val="00DD51BC"/>
    <w:rsid w:val="00DE2240"/>
    <w:rsid w:val="00DF181A"/>
    <w:rsid w:val="00E14E2A"/>
    <w:rsid w:val="00E30E16"/>
    <w:rsid w:val="00E33076"/>
    <w:rsid w:val="00E701F2"/>
    <w:rsid w:val="00E70E81"/>
    <w:rsid w:val="00E7390A"/>
    <w:rsid w:val="00E7579B"/>
    <w:rsid w:val="00E75F98"/>
    <w:rsid w:val="00E820BD"/>
    <w:rsid w:val="00E85BC4"/>
    <w:rsid w:val="00E87A2E"/>
    <w:rsid w:val="00E92C99"/>
    <w:rsid w:val="00E943EC"/>
    <w:rsid w:val="00EA1735"/>
    <w:rsid w:val="00EA5201"/>
    <w:rsid w:val="00EB0581"/>
    <w:rsid w:val="00EC5235"/>
    <w:rsid w:val="00EC63BA"/>
    <w:rsid w:val="00ED5335"/>
    <w:rsid w:val="00ED7A10"/>
    <w:rsid w:val="00EE1A51"/>
    <w:rsid w:val="00EE6A52"/>
    <w:rsid w:val="00EF2BDF"/>
    <w:rsid w:val="00EF36D6"/>
    <w:rsid w:val="00EF4DF8"/>
    <w:rsid w:val="00F13059"/>
    <w:rsid w:val="00F464F2"/>
    <w:rsid w:val="00F7351E"/>
    <w:rsid w:val="00F767DF"/>
    <w:rsid w:val="00F7725E"/>
    <w:rsid w:val="00F97F51"/>
    <w:rsid w:val="00FA4659"/>
    <w:rsid w:val="00FD1D10"/>
    <w:rsid w:val="00FE1807"/>
    <w:rsid w:val="00FF410C"/>
    <w:rsid w:val="00FF5A3B"/>
    <w:rsid w:val="00FF6D8D"/>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C68F1EC3-8FFB-4F2F-ABA3-12EB3CEFA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C75"/>
  </w:style>
  <w:style w:type="paragraph" w:styleId="Heading2">
    <w:name w:val="heading 2"/>
    <w:basedOn w:val="Normal"/>
    <w:next w:val="Normal"/>
    <w:link w:val="Heading2Char"/>
    <w:uiPriority w:val="9"/>
    <w:semiHidden/>
    <w:unhideWhenUsed/>
    <w:qFormat/>
    <w:rsid w:val="00067DE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aliases w:val="6_G"/>
    <w:basedOn w:val="Normal"/>
    <w:link w:val="HeaderChar"/>
    <w:unhideWhenUsed/>
    <w:rsid w:val="00997215"/>
    <w:pPr>
      <w:tabs>
        <w:tab w:val="center" w:pos="4536"/>
        <w:tab w:val="right" w:pos="9072"/>
      </w:tabs>
      <w:spacing w:after="0" w:line="240" w:lineRule="auto"/>
    </w:pPr>
  </w:style>
  <w:style w:type="character" w:customStyle="1" w:styleId="HeaderChar">
    <w:name w:val="Header Char"/>
    <w:aliases w:val="6_G Char"/>
    <w:basedOn w:val="DefaultParagraphFont"/>
    <w:link w:val="Header"/>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styleId="Strong">
    <w:name w:val="Strong"/>
    <w:basedOn w:val="DefaultParagraphFont"/>
    <w:uiPriority w:val="22"/>
    <w:qFormat/>
    <w:rsid w:val="00EA5201"/>
    <w:rPr>
      <w:b/>
      <w:bCs/>
    </w:rPr>
  </w:style>
  <w:style w:type="character" w:customStyle="1" w:styleId="highlight">
    <w:name w:val="highlight"/>
    <w:basedOn w:val="DefaultParagraphFont"/>
    <w:rsid w:val="00B06121"/>
  </w:style>
  <w:style w:type="character" w:customStyle="1" w:styleId="lblnewsfulltext">
    <w:name w:val="lblnewsfulltext"/>
    <w:basedOn w:val="DefaultParagraphFont"/>
    <w:rsid w:val="00252C8E"/>
  </w:style>
  <w:style w:type="paragraph" w:customStyle="1" w:styleId="SingleTxtG">
    <w:name w:val="_ Single Txt_G"/>
    <w:basedOn w:val="Normal"/>
    <w:link w:val="SingleTxtGChar"/>
    <w:qFormat/>
    <w:rsid w:val="003A0D9D"/>
    <w:pPr>
      <w:tabs>
        <w:tab w:val="left" w:pos="1701"/>
        <w:tab w:val="left" w:pos="2268"/>
        <w:tab w:val="left" w:pos="2835"/>
      </w:tabs>
      <w:suppressAutoHyphens/>
      <w:kinsoku w:val="0"/>
      <w:overflowPunct w:val="0"/>
      <w:autoSpaceDE w:val="0"/>
      <w:autoSpaceDN w:val="0"/>
      <w:adjustRightInd w:val="0"/>
      <w:snapToGrid w:val="0"/>
      <w:spacing w:after="120" w:line="240" w:lineRule="atLeast"/>
      <w:ind w:left="1134" w:right="1134"/>
      <w:jc w:val="both"/>
    </w:pPr>
    <w:rPr>
      <w:rFonts w:ascii="Times New Roman" w:hAnsi="Times New Roman" w:cs="Times New Roman"/>
      <w:sz w:val="20"/>
      <w:szCs w:val="20"/>
      <w:lang w:val="en-GB"/>
    </w:rPr>
  </w:style>
  <w:style w:type="character" w:customStyle="1" w:styleId="SingleTxtGChar">
    <w:name w:val="_ Single Txt_G Char"/>
    <w:link w:val="SingleTxtG"/>
    <w:locked/>
    <w:rsid w:val="003A0D9D"/>
    <w:rPr>
      <w:rFonts w:ascii="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067DEA"/>
    <w:rPr>
      <w:rFonts w:asciiTheme="majorHAnsi" w:eastAsiaTheme="majorEastAsia" w:hAnsiTheme="majorHAnsi" w:cstheme="majorBidi"/>
      <w:color w:val="2F5496" w:themeColor="accent1" w:themeShade="BF"/>
      <w:sz w:val="26"/>
      <w:szCs w:val="26"/>
    </w:rPr>
  </w:style>
  <w:style w:type="paragraph" w:customStyle="1" w:styleId="Default">
    <w:name w:val="Default"/>
    <w:rsid w:val="00DC59AD"/>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144070">
      <w:bodyDiv w:val="1"/>
      <w:marLeft w:val="0"/>
      <w:marRight w:val="0"/>
      <w:marTop w:val="0"/>
      <w:marBottom w:val="0"/>
      <w:divBdr>
        <w:top w:val="none" w:sz="0" w:space="0" w:color="auto"/>
        <w:left w:val="none" w:sz="0" w:space="0" w:color="auto"/>
        <w:bottom w:val="none" w:sz="0" w:space="0" w:color="auto"/>
        <w:right w:val="none" w:sz="0" w:space="0" w:color="auto"/>
      </w:divBdr>
    </w:div>
    <w:div w:id="227153055">
      <w:bodyDiv w:val="1"/>
      <w:marLeft w:val="0"/>
      <w:marRight w:val="0"/>
      <w:marTop w:val="0"/>
      <w:marBottom w:val="0"/>
      <w:divBdr>
        <w:top w:val="none" w:sz="0" w:space="0" w:color="auto"/>
        <w:left w:val="none" w:sz="0" w:space="0" w:color="auto"/>
        <w:bottom w:val="none" w:sz="0" w:space="0" w:color="auto"/>
        <w:right w:val="none" w:sz="0" w:space="0" w:color="auto"/>
      </w:divBdr>
    </w:div>
    <w:div w:id="431096799">
      <w:bodyDiv w:val="1"/>
      <w:marLeft w:val="0"/>
      <w:marRight w:val="0"/>
      <w:marTop w:val="0"/>
      <w:marBottom w:val="0"/>
      <w:divBdr>
        <w:top w:val="none" w:sz="0" w:space="0" w:color="auto"/>
        <w:left w:val="none" w:sz="0" w:space="0" w:color="auto"/>
        <w:bottom w:val="none" w:sz="0" w:space="0" w:color="auto"/>
        <w:right w:val="none" w:sz="0" w:space="0" w:color="auto"/>
      </w:divBdr>
    </w:div>
    <w:div w:id="572281851">
      <w:bodyDiv w:val="1"/>
      <w:marLeft w:val="0"/>
      <w:marRight w:val="0"/>
      <w:marTop w:val="0"/>
      <w:marBottom w:val="0"/>
      <w:divBdr>
        <w:top w:val="none" w:sz="0" w:space="0" w:color="auto"/>
        <w:left w:val="none" w:sz="0" w:space="0" w:color="auto"/>
        <w:bottom w:val="none" w:sz="0" w:space="0" w:color="auto"/>
        <w:right w:val="none" w:sz="0" w:space="0" w:color="auto"/>
      </w:divBdr>
    </w:div>
    <w:div w:id="606960067">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1201548804">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71968622">
      <w:bodyDiv w:val="1"/>
      <w:marLeft w:val="0"/>
      <w:marRight w:val="0"/>
      <w:marTop w:val="0"/>
      <w:marBottom w:val="0"/>
      <w:divBdr>
        <w:top w:val="none" w:sz="0" w:space="0" w:color="auto"/>
        <w:left w:val="none" w:sz="0" w:space="0" w:color="auto"/>
        <w:bottom w:val="none" w:sz="0" w:space="0" w:color="auto"/>
        <w:right w:val="none" w:sz="0" w:space="0" w:color="auto"/>
      </w:divBdr>
      <w:divsChild>
        <w:div w:id="13072819">
          <w:marLeft w:val="0"/>
          <w:marRight w:val="0"/>
          <w:marTop w:val="0"/>
          <w:marBottom w:val="0"/>
          <w:divBdr>
            <w:top w:val="none" w:sz="0" w:space="0" w:color="auto"/>
            <w:left w:val="none" w:sz="0" w:space="0" w:color="auto"/>
            <w:bottom w:val="none" w:sz="0" w:space="0" w:color="auto"/>
            <w:right w:val="none" w:sz="0" w:space="0" w:color="auto"/>
          </w:divBdr>
          <w:divsChild>
            <w:div w:id="1741442774">
              <w:marLeft w:val="0"/>
              <w:marRight w:val="0"/>
              <w:marTop w:val="0"/>
              <w:marBottom w:val="0"/>
              <w:divBdr>
                <w:top w:val="none" w:sz="0" w:space="0" w:color="auto"/>
                <w:left w:val="none" w:sz="0" w:space="0" w:color="auto"/>
                <w:bottom w:val="none" w:sz="0" w:space="0" w:color="auto"/>
                <w:right w:val="none" w:sz="0" w:space="0" w:color="auto"/>
              </w:divBdr>
              <w:divsChild>
                <w:div w:id="1070736896">
                  <w:marLeft w:val="0"/>
                  <w:marRight w:val="0"/>
                  <w:marTop w:val="0"/>
                  <w:marBottom w:val="0"/>
                  <w:divBdr>
                    <w:top w:val="none" w:sz="0" w:space="0" w:color="auto"/>
                    <w:left w:val="none" w:sz="0" w:space="0" w:color="auto"/>
                    <w:bottom w:val="none" w:sz="0" w:space="0" w:color="auto"/>
                    <w:right w:val="none" w:sz="0" w:space="0" w:color="auto"/>
                  </w:divBdr>
                  <w:divsChild>
                    <w:div w:id="1873766135">
                      <w:marLeft w:val="0"/>
                      <w:marRight w:val="0"/>
                      <w:marTop w:val="0"/>
                      <w:marBottom w:val="0"/>
                      <w:divBdr>
                        <w:top w:val="none" w:sz="0" w:space="0" w:color="auto"/>
                        <w:left w:val="none" w:sz="0" w:space="0" w:color="auto"/>
                        <w:bottom w:val="none" w:sz="0" w:space="0" w:color="auto"/>
                        <w:right w:val="none" w:sz="0" w:space="0" w:color="auto"/>
                      </w:divBdr>
                      <w:divsChild>
                        <w:div w:id="656300078">
                          <w:marLeft w:val="1200"/>
                          <w:marRight w:val="1200"/>
                          <w:marTop w:val="150"/>
                          <w:marBottom w:val="150"/>
                          <w:divBdr>
                            <w:top w:val="none" w:sz="0" w:space="0" w:color="auto"/>
                            <w:left w:val="none" w:sz="0" w:space="0" w:color="auto"/>
                            <w:bottom w:val="none" w:sz="0" w:space="0" w:color="auto"/>
                            <w:right w:val="none" w:sz="0" w:space="0" w:color="auto"/>
                          </w:divBdr>
                          <w:divsChild>
                            <w:div w:id="188844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ndocs.org/A/HRC/47/3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anhri.org/wp-content/uploads/2021/08/EN-SCA-Report-June-2021.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ndocs.org/A/HRC/47/3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pcommreports.ohchr.org/TMResultsBase/DownLoadPublicCommunicationFile?gId=26772" TargetMode="External"/><Relationship Id="rId4" Type="http://schemas.openxmlformats.org/officeDocument/2006/relationships/settings" Target="settings.xml"/><Relationship Id="rId9" Type="http://schemas.openxmlformats.org/officeDocument/2006/relationships/hyperlink" Target="https://spcommreports.ohchr.org/TMResultsBase/DownLoadPublicCommunicationFile?gId=26772"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EF259-AE38-4AA2-AE69-7F4396E35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644</Words>
  <Characters>3672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 Human Rights Regional Office for Europe (OHCHR)</dc:creator>
  <cp:keywords/>
  <dc:description/>
  <cp:lastModifiedBy>ROE</cp:lastModifiedBy>
  <cp:revision>2</cp:revision>
  <dcterms:created xsi:type="dcterms:W3CDTF">2022-03-03T20:26:00Z</dcterms:created>
  <dcterms:modified xsi:type="dcterms:W3CDTF">2022-03-03T20:26:00Z</dcterms:modified>
</cp:coreProperties>
</file>